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08" w:tblpY="1"/>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814"/>
        <w:gridCol w:w="6801"/>
        <w:gridCol w:w="3005"/>
      </w:tblGrid>
      <w:tr w:rsidR="00A04DF8" w:rsidRPr="00A04DF8" w:rsidTr="00125E0A">
        <w:tc>
          <w:tcPr>
            <w:tcW w:w="14204" w:type="dxa"/>
            <w:gridSpan w:val="4"/>
            <w:shd w:val="clear" w:color="auto" w:fill="D9D9D9"/>
          </w:tcPr>
          <w:p w:rsidR="00A04DF8" w:rsidRPr="00A04DF8" w:rsidRDefault="00A04DF8" w:rsidP="00A04DF8">
            <w:pPr>
              <w:spacing w:before="120" w:after="80" w:line="288" w:lineRule="auto"/>
              <w:ind w:left="720"/>
              <w:rPr>
                <w:rFonts w:ascii="Times New Roman" w:eastAsia="Calibri" w:hAnsi="Times New Roman" w:cs="Times New Roman"/>
                <w:sz w:val="26"/>
                <w:szCs w:val="26"/>
                <w:lang w:val="fr-FR"/>
              </w:rPr>
            </w:pPr>
            <w:r w:rsidRPr="00A04DF8">
              <w:rPr>
                <w:rFonts w:ascii="Times New Roman" w:eastAsia="Calibri" w:hAnsi="Times New Roman" w:cs="Times New Roman"/>
                <w:b/>
                <w:sz w:val="26"/>
                <w:szCs w:val="26"/>
                <w:lang w:val="fr-FR"/>
              </w:rPr>
              <w:t>Dự thảo Nghị định Quy định về điều trị nghiện các chất dạng thuốc phiện bằng thuốc thay thế</w:t>
            </w:r>
          </w:p>
        </w:tc>
      </w:tr>
      <w:tr w:rsidR="00A04DF8" w:rsidRPr="00A04DF8" w:rsidTr="00125E0A">
        <w:tc>
          <w:tcPr>
            <w:tcW w:w="584" w:type="dxa"/>
            <w:shd w:val="clear" w:color="auto" w:fill="auto"/>
          </w:tcPr>
          <w:p w:rsidR="00A04DF8" w:rsidRPr="00A04DF8" w:rsidRDefault="00A04DF8" w:rsidP="00A04DF8">
            <w:pPr>
              <w:spacing w:before="120" w:after="80" w:line="288" w:lineRule="auto"/>
              <w:jc w:val="center"/>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1</w:t>
            </w:r>
          </w:p>
        </w:tc>
        <w:tc>
          <w:tcPr>
            <w:tcW w:w="3814" w:type="dxa"/>
            <w:shd w:val="clear" w:color="auto" w:fill="auto"/>
          </w:tcPr>
          <w:p w:rsidR="00A04DF8" w:rsidRPr="00A04DF8" w:rsidRDefault="00A04DF8" w:rsidP="00A04DF8">
            <w:pPr>
              <w:spacing w:before="120" w:after="80" w:line="288" w:lineRule="auto"/>
              <w:rPr>
                <w:rFonts w:ascii="Times New Roman" w:eastAsia="Calibri" w:hAnsi="Times New Roman" w:cs="Times New Roman"/>
                <w:b/>
                <w:sz w:val="26"/>
                <w:szCs w:val="26"/>
                <w:lang w:val="fr-FR"/>
              </w:rPr>
            </w:pPr>
            <w:r w:rsidRPr="00A04DF8">
              <w:rPr>
                <w:rFonts w:ascii="Times New Roman" w:eastAsia="Calibri" w:hAnsi="Times New Roman" w:cs="Times New Roman"/>
                <w:b/>
                <w:sz w:val="26"/>
                <w:szCs w:val="26"/>
                <w:lang w:val="fr-FR"/>
              </w:rPr>
              <w:t>Công bố đủ điều kiện điều trị nghiện chất dạng thuốc phiện (Điều 15)</w:t>
            </w:r>
          </w:p>
          <w:p w:rsidR="00A04DF8" w:rsidRPr="00A04DF8" w:rsidRDefault="00A04DF8" w:rsidP="00A04DF8">
            <w:p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Trường hợp gửi hồ sơ công bố đủ điều kiện điều trị nghiện chất dạng thuốc phiện bằng phương thức điện tử, cơ sở điều trị có trách nhiệm lưu giữ toàn bộ bản gốc của hồ sơ và chịu trách nhiệm trước pháp luật về tính chính xác, trung thực của hồ sơ (điểm b khoản 1 Điều 15).</w:t>
            </w:r>
          </w:p>
        </w:tc>
        <w:tc>
          <w:tcPr>
            <w:tcW w:w="6801" w:type="dxa"/>
            <w:shd w:val="clear" w:color="auto" w:fill="auto"/>
          </w:tcPr>
          <w:p w:rsidR="00A04DF8" w:rsidRPr="00A04DF8" w:rsidRDefault="00A04DF8" w:rsidP="00A04DF8">
            <w:p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Theo quy định này thì có thể thực hiện thủ tục hành chính thông qua phương thức điện tử. Đây là một quy định tiến bộ, tạo thuận lợi cho doanh nghiệp trong quá trình thực hiện thủ tục.</w:t>
            </w:r>
          </w:p>
          <w:p w:rsidR="00A04DF8" w:rsidRPr="00A04DF8" w:rsidRDefault="00A04DF8" w:rsidP="00A04DF8">
            <w:p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Tuy nhiên, Dự thảo lại không quy định rõ về việc sẽ thực hiện thủ tục hành chính thông qua phương thức điện tử như thế nào, ít nhất ở các điểm sau:</w:t>
            </w:r>
          </w:p>
          <w:p w:rsidR="00A04DF8" w:rsidRPr="00A04DF8" w:rsidRDefault="00A04DF8" w:rsidP="00A04DF8">
            <w:pPr>
              <w:numPr>
                <w:ilvl w:val="0"/>
                <w:numId w:val="1"/>
              </w:num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Các tài liệu dạng file điện tử như thế nào? (gửi file PDF, hay là các file phải có chữ ký điện tử của chủ thể gửi …?)</w:t>
            </w:r>
          </w:p>
          <w:p w:rsidR="00A04DF8" w:rsidRPr="00A04DF8" w:rsidRDefault="00A04DF8" w:rsidP="00A04DF8">
            <w:pPr>
              <w:numPr>
                <w:ilvl w:val="0"/>
                <w:numId w:val="1"/>
              </w:num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Gửi đến địa chỉ nào?</w:t>
            </w:r>
          </w:p>
          <w:p w:rsidR="00A04DF8" w:rsidRPr="00A04DF8" w:rsidRDefault="00A04DF8" w:rsidP="00A04DF8">
            <w:pPr>
              <w:numPr>
                <w:ilvl w:val="0"/>
                <w:numId w:val="1"/>
              </w:num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Cách thức phản hồi như thế nào?</w:t>
            </w:r>
          </w:p>
          <w:p w:rsidR="00A04DF8" w:rsidRPr="00A04DF8" w:rsidRDefault="00A04DF8" w:rsidP="00A04DF8">
            <w:p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Việc thiếu quy định này sẽ khiến cho các doanh nghiệp cũng như cơ quan nhà nước gặp khó khăn trong triển khai thực hiện.</w:t>
            </w:r>
          </w:p>
        </w:tc>
        <w:tc>
          <w:tcPr>
            <w:tcW w:w="3005" w:type="dxa"/>
            <w:shd w:val="clear" w:color="auto" w:fill="auto"/>
          </w:tcPr>
          <w:p w:rsidR="00A04DF8" w:rsidRPr="00A04DF8" w:rsidRDefault="00A04DF8" w:rsidP="00A04DF8">
            <w:p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 xml:space="preserve">Đề nghị </w:t>
            </w:r>
            <w:r w:rsidRPr="00A04DF8">
              <w:rPr>
                <w:rFonts w:ascii="Times New Roman" w:eastAsia="Calibri" w:hAnsi="Times New Roman" w:cs="Times New Roman"/>
                <w:b/>
                <w:sz w:val="26"/>
                <w:szCs w:val="26"/>
                <w:lang w:val="fr-FR"/>
              </w:rPr>
              <w:t>quy định rõ ràng, cụ thể</w:t>
            </w:r>
            <w:r w:rsidRPr="00A04DF8">
              <w:rPr>
                <w:rFonts w:ascii="Times New Roman" w:eastAsia="Calibri" w:hAnsi="Times New Roman" w:cs="Times New Roman"/>
                <w:sz w:val="26"/>
                <w:szCs w:val="26"/>
                <w:lang w:val="fr-FR"/>
              </w:rPr>
              <w:t xml:space="preserve"> về thủ tục hành chính bằng phương thức điện tử này.</w:t>
            </w:r>
          </w:p>
        </w:tc>
      </w:tr>
      <w:tr w:rsidR="00A04DF8" w:rsidRPr="00A04DF8" w:rsidTr="00125E0A">
        <w:tc>
          <w:tcPr>
            <w:tcW w:w="584" w:type="dxa"/>
            <w:shd w:val="clear" w:color="auto" w:fill="auto"/>
          </w:tcPr>
          <w:p w:rsidR="00A04DF8" w:rsidRPr="00A04DF8" w:rsidRDefault="00A04DF8" w:rsidP="00A04DF8">
            <w:pPr>
              <w:spacing w:before="120" w:after="80" w:line="288" w:lineRule="auto"/>
              <w:jc w:val="center"/>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2</w:t>
            </w:r>
          </w:p>
        </w:tc>
        <w:tc>
          <w:tcPr>
            <w:tcW w:w="3814" w:type="dxa"/>
            <w:shd w:val="clear" w:color="auto" w:fill="auto"/>
          </w:tcPr>
          <w:p w:rsidR="00A04DF8" w:rsidRPr="00A04DF8" w:rsidRDefault="00A04DF8" w:rsidP="00A04DF8">
            <w:pPr>
              <w:spacing w:before="120" w:after="80" w:line="288" w:lineRule="auto"/>
              <w:rPr>
                <w:rFonts w:ascii="Times New Roman" w:eastAsia="Calibri" w:hAnsi="Times New Roman" w:cs="Times New Roman"/>
                <w:b/>
                <w:sz w:val="26"/>
                <w:szCs w:val="26"/>
                <w:lang w:val="fr-FR"/>
              </w:rPr>
            </w:pPr>
            <w:r w:rsidRPr="00A04DF8">
              <w:rPr>
                <w:rFonts w:ascii="Times New Roman" w:eastAsia="Calibri" w:hAnsi="Times New Roman" w:cs="Times New Roman"/>
                <w:b/>
                <w:sz w:val="26"/>
                <w:szCs w:val="26"/>
                <w:lang w:val="de-DE"/>
              </w:rPr>
              <w:t xml:space="preserve">Thủ </w:t>
            </w:r>
            <w:r w:rsidRPr="00A04DF8">
              <w:rPr>
                <w:rFonts w:ascii="Times New Roman" w:eastAsia="Calibri" w:hAnsi="Times New Roman" w:cs="Times New Roman"/>
                <w:b/>
                <w:sz w:val="26"/>
                <w:szCs w:val="26"/>
                <w:lang w:val="fr-FR"/>
              </w:rPr>
              <w:t>tục công bố lại đối với cơ sở công bố đủ điều kiện điều trị nghiện chất dạng thuốc phiện bằng phương thức điện tử khi hồ sơ công bố bị hư hỏng hoặc bị mất (Điều 18):</w:t>
            </w:r>
          </w:p>
          <w:p w:rsidR="00A04DF8" w:rsidRPr="00A04DF8" w:rsidRDefault="00A04DF8" w:rsidP="00A04DF8">
            <w:p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 Gửi thông báo tới Sở Y tế</w:t>
            </w:r>
          </w:p>
          <w:p w:rsidR="00A04DF8" w:rsidRPr="00A04DF8" w:rsidRDefault="00A04DF8" w:rsidP="00A04DF8">
            <w:p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 xml:space="preserve">- Sau 30 ngày kể từ ngày gửi thông báo tới Sở Y tế, gửi hồ sơ công bố (tương tự như hồ sơ công </w:t>
            </w:r>
            <w:r w:rsidRPr="00A04DF8">
              <w:rPr>
                <w:rFonts w:ascii="Times New Roman" w:eastAsia="Calibri" w:hAnsi="Times New Roman" w:cs="Times New Roman"/>
                <w:sz w:val="26"/>
                <w:szCs w:val="26"/>
                <w:lang w:val="fr-FR"/>
              </w:rPr>
              <w:lastRenderedPageBreak/>
              <w:t>bố đủ điều kiện điều trị nghiện ban đầu)</w:t>
            </w:r>
          </w:p>
          <w:p w:rsidR="00A04DF8" w:rsidRPr="00A04DF8" w:rsidRDefault="00A04DF8" w:rsidP="00A04DF8">
            <w:pPr>
              <w:spacing w:before="120" w:after="80" w:line="288" w:lineRule="auto"/>
              <w:rPr>
                <w:rFonts w:ascii="Times New Roman" w:eastAsia="Calibri" w:hAnsi="Times New Roman" w:cs="Times New Roman"/>
                <w:sz w:val="26"/>
                <w:szCs w:val="26"/>
                <w:lang w:val="de-DE"/>
              </w:rPr>
            </w:pPr>
            <w:r w:rsidRPr="00A04DF8">
              <w:rPr>
                <w:rFonts w:ascii="Times New Roman" w:eastAsia="Calibri" w:hAnsi="Times New Roman" w:cs="Times New Roman"/>
                <w:sz w:val="26"/>
                <w:szCs w:val="26"/>
                <w:lang w:val="fr-FR"/>
              </w:rPr>
              <w:t>- Sở Y tế sẽ xem xét lại hồ sơ và công bố lại tương tự như thủ tục công bố lần đầu</w:t>
            </w:r>
          </w:p>
        </w:tc>
        <w:tc>
          <w:tcPr>
            <w:tcW w:w="6801" w:type="dxa"/>
            <w:shd w:val="clear" w:color="auto" w:fill="auto"/>
          </w:tcPr>
          <w:p w:rsidR="00A04DF8" w:rsidRPr="00A04DF8" w:rsidRDefault="00A04DF8" w:rsidP="00A04DF8">
            <w:p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lastRenderedPageBreak/>
              <w:t xml:space="preserve">Việc yêu cầu, doanh nghiệp phải thực hiện lại thủ tục công bố đủ điều kiện khi hồ sơ công bố bị hư hỏng hoặc bị mất là chưa hợp lý. </w:t>
            </w:r>
          </w:p>
          <w:p w:rsidR="00A04DF8" w:rsidRPr="00A04DF8" w:rsidRDefault="00A04DF8" w:rsidP="00A04DF8">
            <w:p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Bởi, hoạt động công bố lại thường được thực hiện đối với những thay đổi ảnh hưởng đến điều kiện hoạt động hoặc khi hoàn thành việc khắc phục các vi phạm để đáp ứng lại các điều kiện. Trong khi đó ở trường hợp này, doanh nghiệp vẫn đáp ứng các điều kiện để thực hiện điều trị theo quy định, có nghĩa là các thông tin công bố trên trang thông tin điện tử không thay đổi. Như vậy, yêu cầu phải công bố lại trường hợp này là chưa hợp lý.</w:t>
            </w:r>
          </w:p>
          <w:p w:rsidR="00A04DF8" w:rsidRPr="00A04DF8" w:rsidRDefault="00A04DF8" w:rsidP="00A04DF8">
            <w:p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lastRenderedPageBreak/>
              <w:t>Hơn nữa, quy định này sẽ khiến cho tính ưu việt của thủ tục hành chính bằng phương thức điện tử bị giảm đi đáng kể và doanh nghiệp sẽ ít lựa chọn thực hiện thủ tục bằng phương thức này. Nếu thực hiện theo phương thức truyền thống thì doanh nghiệp sẽ phải thực hiện 1 lần và không có rủi ro trong việc mất hồ sơ. Trong khi đối với phương thức truyền thống, mất hồ sơ doanh nghiệp lại phải thực hiện như lần đầu.</w:t>
            </w:r>
          </w:p>
        </w:tc>
        <w:tc>
          <w:tcPr>
            <w:tcW w:w="3005" w:type="dxa"/>
            <w:shd w:val="clear" w:color="auto" w:fill="auto"/>
          </w:tcPr>
          <w:p w:rsidR="00A04DF8" w:rsidRPr="00A04DF8" w:rsidRDefault="00A04DF8" w:rsidP="00A04DF8">
            <w:p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lastRenderedPageBreak/>
              <w:t xml:space="preserve">Đề nghị </w:t>
            </w:r>
            <w:r w:rsidRPr="00A04DF8">
              <w:rPr>
                <w:rFonts w:ascii="Times New Roman" w:eastAsia="Calibri" w:hAnsi="Times New Roman" w:cs="Times New Roman"/>
                <w:b/>
                <w:sz w:val="26"/>
                <w:szCs w:val="26"/>
                <w:lang w:val="fr-FR"/>
              </w:rPr>
              <w:t>sửa đổi quy định</w:t>
            </w:r>
            <w:r w:rsidRPr="00A04DF8">
              <w:rPr>
                <w:rFonts w:ascii="Times New Roman" w:eastAsia="Calibri" w:hAnsi="Times New Roman" w:cs="Times New Roman"/>
                <w:sz w:val="26"/>
                <w:szCs w:val="26"/>
                <w:lang w:val="fr-FR"/>
              </w:rPr>
              <w:t xml:space="preserve"> theo hướng:</w:t>
            </w:r>
          </w:p>
          <w:p w:rsidR="00A04DF8" w:rsidRPr="00A04DF8" w:rsidRDefault="00A04DF8" w:rsidP="00A04DF8">
            <w:p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t>Đối với trường hợp hồ sơ công bố bị mất hoặc hư hỏng thì doanh nghiệp sẽ phải hoàn thiện lại hồ sơ lưu để đảm bảo có thể xuất trình được cho cơ quan nhà nước khi kiểm tra, thanh tra.</w:t>
            </w:r>
          </w:p>
          <w:p w:rsidR="00A04DF8" w:rsidRPr="00A04DF8" w:rsidRDefault="00A04DF8" w:rsidP="00A04DF8">
            <w:pPr>
              <w:spacing w:before="120" w:after="80" w:line="288" w:lineRule="auto"/>
              <w:rPr>
                <w:rFonts w:ascii="Times New Roman" w:eastAsia="Calibri" w:hAnsi="Times New Roman" w:cs="Times New Roman"/>
                <w:sz w:val="26"/>
                <w:szCs w:val="26"/>
                <w:lang w:val="fr-FR"/>
              </w:rPr>
            </w:pPr>
            <w:r w:rsidRPr="00A04DF8">
              <w:rPr>
                <w:rFonts w:ascii="Times New Roman" w:eastAsia="Calibri" w:hAnsi="Times New Roman" w:cs="Times New Roman"/>
                <w:sz w:val="26"/>
                <w:szCs w:val="26"/>
                <w:lang w:val="fr-FR"/>
              </w:rPr>
              <w:lastRenderedPageBreak/>
              <w:t>Doanh nghiệp không phải thực hiện công bố lại trong trường hợp này.</w:t>
            </w:r>
          </w:p>
        </w:tc>
      </w:tr>
    </w:tbl>
    <w:p w:rsidR="00A04DF8" w:rsidRPr="00A04DF8" w:rsidRDefault="00A04DF8" w:rsidP="00A04DF8">
      <w:pPr>
        <w:rPr>
          <w:lang w:val="fr-FR"/>
        </w:rPr>
      </w:pPr>
    </w:p>
    <w:p w:rsidR="00181A50" w:rsidRPr="00A04DF8" w:rsidRDefault="00181A50" w:rsidP="00A04DF8">
      <w:pPr>
        <w:rPr>
          <w:lang w:val="fr-FR"/>
        </w:rPr>
      </w:pPr>
      <w:bookmarkStart w:id="0" w:name="_GoBack"/>
      <w:bookmarkEnd w:id="0"/>
    </w:p>
    <w:sectPr w:rsidR="00181A50" w:rsidRPr="00A04DF8" w:rsidSect="00556138">
      <w:pgSz w:w="15840" w:h="12240" w:orient="landscape"/>
      <w:pgMar w:top="709" w:right="144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A1FE7"/>
    <w:multiLevelType w:val="hybridMultilevel"/>
    <w:tmpl w:val="BF780D08"/>
    <w:lvl w:ilvl="0" w:tplc="A59606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B3713"/>
    <w:multiLevelType w:val="hybridMultilevel"/>
    <w:tmpl w:val="4206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22245"/>
    <w:multiLevelType w:val="hybridMultilevel"/>
    <w:tmpl w:val="3ADEA920"/>
    <w:lvl w:ilvl="0" w:tplc="E52698F8">
      <w:start w:val="1"/>
      <w:numFmt w:val="decimal"/>
      <w:lvlText w:val="%1."/>
      <w:lvlJc w:val="left"/>
      <w:pPr>
        <w:ind w:left="689" w:hanging="547"/>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70831A35"/>
    <w:multiLevelType w:val="hybridMultilevel"/>
    <w:tmpl w:val="84B0CED8"/>
    <w:lvl w:ilvl="0" w:tplc="A4E2EE8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6B"/>
    <w:rsid w:val="00181A50"/>
    <w:rsid w:val="004A316B"/>
    <w:rsid w:val="00A04DF8"/>
    <w:rsid w:val="00FA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4BE07-A539-48C1-810F-A87473E1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3</cp:revision>
  <dcterms:created xsi:type="dcterms:W3CDTF">2016-08-29T04:17:00Z</dcterms:created>
  <dcterms:modified xsi:type="dcterms:W3CDTF">2016-08-29T07:48:00Z</dcterms:modified>
</cp:coreProperties>
</file>